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lineRule="auto" w:line="259" w:before="0" w:after="160"/>
        <w:ind w:left="0" w:right="0" w:hanging="0"/>
        <w:jc w:val="both"/>
        <w:rPr/>
      </w:pPr>
      <w:r>
        <w:rPr>
          <w:rFonts w:ascii="Times New Roman" w:hAnsi="Times New Roman"/>
          <w:b/>
          <w:bCs/>
        </w:rPr>
        <w:t>IDENTITÀ</w:t>
      </w:r>
    </w:p>
    <w:p>
      <w:pPr>
        <w:pStyle w:val="Normal"/>
        <w:widowControl/>
        <w:bidi w:val="0"/>
        <w:spacing w:lineRule="auto" w:line="259" w:before="0" w:after="160"/>
        <w:ind w:left="0" w:right="0" w:hanging="0"/>
        <w:jc w:val="both"/>
        <w:rPr/>
      </w:pPr>
      <w:r>
        <w:rPr>
          <w:rFonts w:cs="Calibri;Calibri" w:ascii="Times New Roman" w:hAnsi="Times New Roman"/>
          <w:color w:val="000000"/>
          <w:sz w:val="22"/>
          <w:szCs w:val="22"/>
          <w:u w:val="single"/>
          <w:lang w:val="it-IT"/>
        </w:rPr>
        <w:t>Punto di partenza</w:t>
      </w:r>
      <w:r>
        <w:rPr>
          <w:rFonts w:cs="Calibri;Calibri" w:ascii="Times New Roman" w:hAnsi="Times New Roman"/>
          <w:color w:val="000000"/>
          <w:sz w:val="22"/>
          <w:szCs w:val="22"/>
          <w:lang w:val="it-IT"/>
        </w:rPr>
        <w:t>: verifica, sul piano scientifico, che l’identità del Friuli è un concetto che ha specifiche connotazioni storiche, linguistiche, geografiche, economiche, antropologiche, culturali.</w:t>
      </w:r>
    </w:p>
    <w:p>
      <w:pPr>
        <w:pStyle w:val="Normal"/>
        <w:widowControl/>
        <w:bidi w:val="0"/>
        <w:spacing w:lineRule="auto" w:line="259" w:before="0" w:after="160"/>
        <w:ind w:left="0" w:right="0" w:hanging="0"/>
        <w:jc w:val="both"/>
        <w:rPr/>
      </w:pPr>
      <w:r>
        <w:rPr>
          <w:rFonts w:cs="Calibri;Calibri" w:ascii="Times New Roman" w:hAnsi="Times New Roman"/>
          <w:color w:val="000000"/>
          <w:sz w:val="22"/>
          <w:szCs w:val="22"/>
          <w:u w:val="single"/>
          <w:lang w:val="it-IT"/>
        </w:rPr>
        <w:t>Criticità</w:t>
      </w:r>
      <w:r>
        <w:rPr>
          <w:rFonts w:cs="Calibri;Calibri" w:ascii="Times New Roman" w:hAnsi="Times New Roman"/>
          <w:color w:val="000000"/>
          <w:sz w:val="22"/>
          <w:szCs w:val="22"/>
          <w:lang w:val="it-IT"/>
        </w:rPr>
        <w:t>: nel corso del tempo la percezione dell’identità si è attenuata per molteplici ragioni e anche perché, come tutti i fenomeni socio-culturali, ha bisogno di essere oggetto di verifica e di aggiornamento, come dimostra il fatto che attualmente essa non necessariamente coincide con i suoi tradizionali confini geografici, ma trova la sua essenza in una dimensione di tipo relazionale.</w:t>
      </w:r>
    </w:p>
    <w:p>
      <w:pPr>
        <w:pStyle w:val="Normal"/>
        <w:widowControl/>
        <w:bidi w:val="0"/>
        <w:spacing w:lineRule="auto" w:line="259" w:before="0" w:after="160"/>
        <w:ind w:left="0" w:right="0" w:hanging="0"/>
        <w:jc w:val="both"/>
        <w:rPr/>
      </w:pPr>
      <w:r>
        <w:rPr>
          <w:rFonts w:cs="Calibri;Calibri" w:ascii="Times New Roman" w:hAnsi="Times New Roman"/>
          <w:color w:val="000000"/>
          <w:sz w:val="22"/>
          <w:szCs w:val="22"/>
          <w:u w:val="single"/>
          <w:lang w:val="it-IT"/>
        </w:rPr>
        <w:t>Soluzioni</w:t>
      </w:r>
      <w:r>
        <w:rPr>
          <w:rFonts w:cs="Calibri;Calibri" w:ascii="Times New Roman" w:hAnsi="Times New Roman"/>
          <w:color w:val="000000"/>
          <w:sz w:val="22"/>
          <w:szCs w:val="22"/>
          <w:lang w:val="it-IT"/>
        </w:rPr>
        <w:t>: - sensibilizzare maggiormente i cittadini sul tema, perché l</w:t>
      </w:r>
      <w:r>
        <w:rPr>
          <w:rFonts w:eastAsia="Times New Roman" w:cs="Arial Hebrew Scholar" w:ascii="Times New Roman" w:hAnsi="Times New Roman"/>
          <w:color w:val="00000A"/>
          <w:sz w:val="22"/>
          <w:szCs w:val="22"/>
          <w:lang w:val="it-IT"/>
        </w:rPr>
        <w:t>’identità si custodisce solo se c’è una autopercezione chiara e consapevole di sé, che non guardi solo al passato, ma si proietti verso il futuro, con una specifica “missione”</w:t>
      </w:r>
      <w:r>
        <w:rPr>
          <w:rFonts w:cs="Calibri;Calibri" w:ascii="Times New Roman" w:hAnsi="Times New Roman"/>
          <w:color w:val="000000"/>
          <w:sz w:val="22"/>
          <w:szCs w:val="22"/>
          <w:lang w:val="it-IT"/>
        </w:rPr>
        <w:t xml:space="preserve">; - concepire </w:t>
      </w:r>
      <w:r>
        <w:rPr>
          <w:rFonts w:eastAsia="Times New Roman" w:cs="Arial Hebrew Scholar" w:ascii="Times New Roman" w:hAnsi="Times New Roman"/>
          <w:color w:val="00000A"/>
          <w:sz w:val="22"/>
          <w:szCs w:val="22"/>
          <w:lang w:val="it-IT"/>
        </w:rPr>
        <w:t xml:space="preserve">la risorsa identitaria non in un'ottica conservativa, ma associata all’innovazione e allo sviluppo; - sviscerare il nesso tra assetto istituzionale di una comunità e l’idea che tale comunità ha di sé, declinando il binomio identità-autonomia in chiave prospettica e strategica, con un approccio </w:t>
      </w:r>
      <w:r>
        <w:rPr>
          <w:rFonts w:eastAsia="Times New Roman" w:cs="Arial Hebrew Scholar" w:ascii="Times New Roman" w:hAnsi="Times New Roman"/>
          <w:i/>
          <w:iCs/>
          <w:color w:val="00000A"/>
          <w:sz w:val="22"/>
          <w:szCs w:val="22"/>
          <w:lang w:val="it-IT"/>
        </w:rPr>
        <w:t>bottom-up</w:t>
      </w:r>
      <w:r>
        <w:rPr>
          <w:rFonts w:eastAsia="Times New Roman" w:cs="Arial Hebrew Scholar" w:ascii="Times New Roman" w:hAnsi="Times New Roman"/>
          <w:color w:val="00000A"/>
          <w:sz w:val="22"/>
          <w:szCs w:val="22"/>
          <w:lang w:val="it-IT"/>
        </w:rPr>
        <w:t>.</w:t>
      </w:r>
    </w:p>
    <w:p>
      <w:pPr>
        <w:pStyle w:val="Normal"/>
        <w:widowControl/>
        <w:bidi w:val="0"/>
        <w:spacing w:lineRule="auto" w:line="259" w:before="0" w:after="160"/>
        <w:ind w:left="0" w:right="0" w:hanging="0"/>
        <w:jc w:val="both"/>
        <w:rPr/>
      </w:pPr>
      <w:r>
        <w:rPr>
          <w:rFonts w:eastAsia="Times New Roman" w:cs="Arial Hebrew Scholar" w:ascii="Times New Roman" w:hAnsi="Times New Roman"/>
          <w:color w:val="00000A"/>
          <w:sz w:val="22"/>
          <w:szCs w:val="22"/>
          <w:u w:val="single"/>
          <w:lang w:val="it-IT"/>
        </w:rPr>
        <w:t>Problemi aperti sul piano giuridico</w:t>
      </w:r>
      <w:r>
        <w:rPr>
          <w:rFonts w:eastAsia="Times New Roman" w:cs="Arial Hebrew Scholar" w:ascii="Times New Roman" w:hAnsi="Times New Roman"/>
          <w:color w:val="00000A"/>
          <w:sz w:val="22"/>
          <w:szCs w:val="22"/>
          <w:lang w:val="it-IT"/>
        </w:rPr>
        <w:t xml:space="preserve">: - </w:t>
      </w:r>
      <w:r>
        <w:rPr>
          <w:rFonts w:eastAsia="Times New Roman" w:cs="Arial Hebrew Scholar" w:ascii="Times New Roman" w:hAnsi="Times New Roman"/>
          <w:color w:val="00000A"/>
          <w:sz w:val="22"/>
          <w:szCs w:val="22"/>
          <w:lang w:val="it-IT"/>
        </w:rPr>
        <w:t xml:space="preserve">verificare se </w:t>
      </w:r>
      <w:r>
        <w:rPr>
          <w:rFonts w:eastAsia="Times New Roman" w:cs="Arial Hebrew Scholar" w:ascii="Times New Roman" w:hAnsi="Times New Roman"/>
          <w:i w:val="false"/>
          <w:iCs w:val="false"/>
          <w:color w:val="00000A"/>
          <w:sz w:val="22"/>
          <w:szCs w:val="22"/>
          <w:u w:val="none"/>
          <w:lang w:val="it-IT"/>
        </w:rPr>
        <w:t>l</w:t>
      </w:r>
      <w:r>
        <w:rPr>
          <w:rFonts w:eastAsia="Times New Roman" w:cs="Times New Roman" w:ascii="Times New Roman" w:hAnsi="Times New Roman"/>
          <w:i w:val="false"/>
          <w:iCs w:val="false"/>
          <w:color w:val="00000A"/>
          <w:sz w:val="22"/>
          <w:szCs w:val="22"/>
          <w:u w:val="none"/>
          <w:lang w:val="it-IT"/>
        </w:rPr>
        <w:t>’assetto istituzionale riconosce e valorizza il tessuto sociale del Friuli e le reti di relazioni esistenti a livello territoriale, al fine della generazione di valore; - se l’identit</w:t>
      </w:r>
      <w:r>
        <w:rPr>
          <w:rFonts w:eastAsia="Times New Roman" w:cs="Times New Roman" w:ascii="Times New Roman" w:hAnsi="Times New Roman"/>
          <w:i w:val="false"/>
          <w:iCs w:val="false"/>
          <w:color w:val="00000A"/>
          <w:sz w:val="22"/>
          <w:szCs w:val="22"/>
          <w:u w:val="none"/>
          <w:lang w:val="it-IT"/>
        </w:rPr>
        <w:t>à è un concetto</w:t>
      </w:r>
      <w:r>
        <w:rPr>
          <w:rFonts w:eastAsia="Times New Roman" w:cs="Times New Roman" w:ascii="Times New Roman" w:hAnsi="Times New Roman"/>
          <w:i w:val="false"/>
          <w:iCs w:val="false"/>
          <w:color w:val="00000A"/>
          <w:sz w:val="22"/>
          <w:szCs w:val="22"/>
          <w:u w:val="none"/>
          <w:lang w:val="it-IT"/>
        </w:rPr>
        <w:t xml:space="preserve"> mobile e fluido, </w:t>
      </w:r>
      <w:r>
        <w:rPr>
          <w:rFonts w:eastAsia="Times New Roman" w:cs="Times New Roman" w:ascii="Times New Roman" w:hAnsi="Times New Roman"/>
          <w:i w:val="false"/>
          <w:iCs w:val="false"/>
          <w:color w:val="00000A"/>
          <w:sz w:val="22"/>
          <w:szCs w:val="22"/>
          <w:u w:val="none"/>
          <w:lang w:val="it-IT"/>
        </w:rPr>
        <w:t>è necessario riflettere</w:t>
      </w:r>
      <w:r>
        <w:rPr>
          <w:rFonts w:eastAsia="Times New Roman" w:cs="Times New Roman" w:ascii="Times New Roman" w:hAnsi="Times New Roman"/>
          <w:i w:val="false"/>
          <w:iCs w:val="false"/>
          <w:color w:val="00000A"/>
          <w:sz w:val="22"/>
          <w:szCs w:val="22"/>
          <w:u w:val="none"/>
          <w:lang w:val="it-IT"/>
        </w:rPr>
        <w:t xml:space="preserve"> a quali fini è opportuno concepire assetti istituzionali rigidi e predeterminati e a quali altri fini si d</w:t>
      </w:r>
      <w:r>
        <w:rPr>
          <w:rFonts w:eastAsia="Times New Roman" w:cs="Times New Roman" w:ascii="Times New Roman" w:hAnsi="Times New Roman"/>
          <w:i w:val="false"/>
          <w:iCs w:val="false"/>
          <w:color w:val="00000A"/>
          <w:sz w:val="22"/>
          <w:szCs w:val="22"/>
          <w:u w:val="none"/>
          <w:lang w:val="it-IT"/>
        </w:rPr>
        <w:t>evono</w:t>
      </w:r>
      <w:r>
        <w:rPr>
          <w:rFonts w:eastAsia="Times New Roman" w:cs="Times New Roman" w:ascii="Times New Roman" w:hAnsi="Times New Roman"/>
          <w:i w:val="false"/>
          <w:iCs w:val="false"/>
          <w:color w:val="00000A"/>
          <w:sz w:val="22"/>
          <w:szCs w:val="22"/>
          <w:u w:val="none"/>
          <w:lang w:val="it-IT"/>
        </w:rPr>
        <w:t xml:space="preserve"> immaginare assetti leggeri e/</w:t>
      </w:r>
      <w:r>
        <w:rPr>
          <w:rFonts w:eastAsia="Times New Roman" w:cs="Times New Roman" w:ascii="Times New Roman" w:hAnsi="Times New Roman"/>
          <w:i w:val="false"/>
          <w:iCs w:val="false"/>
          <w:color w:val="00000A"/>
          <w:sz w:val="22"/>
          <w:szCs w:val="22"/>
          <w:u w:val="none"/>
          <w:lang w:val="it-IT"/>
        </w:rPr>
        <w:t>o</w:t>
      </w:r>
      <w:r>
        <w:rPr>
          <w:rFonts w:eastAsia="Times New Roman" w:cs="Times New Roman" w:ascii="Times New Roman" w:hAnsi="Times New Roman"/>
          <w:i w:val="false"/>
          <w:iCs w:val="false"/>
          <w:color w:val="00000A"/>
          <w:sz w:val="22"/>
          <w:szCs w:val="22"/>
          <w:u w:val="none"/>
          <w:lang w:val="it-IT"/>
        </w:rPr>
        <w:t xml:space="preserve"> individuati di volta in volta dalle comunità proprio sulla base delle reti che si costituiscono per affrontare problemi comuni; - al di là del rapporto di “immedesimazione” che deve sussistere tra assetti istituzionali e dimensione identitaria di una comunità, v</w:t>
      </w:r>
      <w:r>
        <w:rPr>
          <w:rFonts w:eastAsia="Times New Roman" w:cs="Times New Roman" w:ascii="Times New Roman" w:hAnsi="Times New Roman"/>
          <w:i w:val="false"/>
          <w:iCs w:val="false"/>
          <w:color w:val="00000A"/>
          <w:sz w:val="22"/>
          <w:szCs w:val="22"/>
          <w:u w:val="none"/>
          <w:lang w:val="it-IT"/>
        </w:rPr>
        <w:t>anno individuati i</w:t>
      </w:r>
      <w:r>
        <w:rPr>
          <w:rFonts w:eastAsia="Times New Roman" w:cs="Times New Roman" w:ascii="Times New Roman" w:hAnsi="Times New Roman"/>
          <w:i w:val="false"/>
          <w:iCs w:val="false"/>
          <w:color w:val="00000A"/>
          <w:sz w:val="22"/>
          <w:szCs w:val="22"/>
          <w:u w:val="none"/>
          <w:lang w:val="it-IT"/>
        </w:rPr>
        <w:t xml:space="preserve"> profili specifici dell’identità che potrebbero essere oggetto di puntuali forme di rappresentanza sul piano giuridico e, in ipotesi affermativa, con quali modalità e con quali finalità.</w:t>
      </w:r>
      <w:r>
        <w:br w:type="page"/>
      </w:r>
    </w:p>
    <w:p>
      <w:pPr>
        <w:pStyle w:val="Normal"/>
        <w:widowControl/>
        <w:bidi w:val="0"/>
        <w:spacing w:lineRule="auto" w:line="259" w:before="0" w:after="160"/>
        <w:ind w:left="0" w:right="0" w:hanging="0"/>
        <w:jc w:val="both"/>
        <w:rPr>
          <w:rFonts w:ascii="Times New Roman" w:hAnsi="Times New Roman" w:eastAsia="Times New Roman" w:cs="Arial Hebrew Scholar"/>
          <w:b/>
          <w:b/>
          <w:bCs/>
          <w:color w:val="00000A"/>
          <w:sz w:val="22"/>
          <w:szCs w:val="22"/>
          <w:lang w:val="it-IT"/>
        </w:rPr>
      </w:pPr>
      <w:r>
        <w:rPr>
          <w:rFonts w:eastAsia="Times New Roman" w:cs="Arial Hebrew Scholar" w:ascii="Times New Roman" w:hAnsi="Times New Roman"/>
          <w:b/>
          <w:bCs/>
          <w:color w:val="00000A"/>
          <w:sz w:val="22"/>
          <w:szCs w:val="22"/>
          <w:lang w:val="it-IT"/>
        </w:rPr>
      </w:r>
    </w:p>
    <w:p>
      <w:pPr>
        <w:pStyle w:val="Normal"/>
        <w:widowControl/>
        <w:bidi w:val="0"/>
        <w:spacing w:lineRule="auto" w:line="259" w:before="0" w:after="16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caps/>
          <w:color w:val="00000A"/>
          <w:sz w:val="22"/>
          <w:szCs w:val="22"/>
          <w:lang w:val="it-IT"/>
        </w:rPr>
        <w:t>impiego e organizzazione del</w:t>
      </w:r>
      <w:r>
        <w:rPr>
          <w:rFonts w:eastAsia="Times New Roman" w:cs="Times New Roman" w:ascii="Times New Roman" w:hAnsi="Times New Roman"/>
          <w:color w:val="00000A"/>
          <w:sz w:val="22"/>
          <w:szCs w:val="22"/>
          <w:lang w:val="it-I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A"/>
          <w:sz w:val="22"/>
          <w:szCs w:val="22"/>
          <w:lang w:val="it-IT"/>
        </w:rPr>
        <w:t>LAVORO NELLE PA</w:t>
      </w:r>
    </w:p>
    <w:p>
      <w:pPr>
        <w:pStyle w:val="Normal"/>
        <w:widowControl/>
        <w:bidi w:val="0"/>
        <w:spacing w:lineRule="auto" w:line="259" w:before="0" w:after="16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sz w:val="22"/>
          <w:szCs w:val="22"/>
          <w:u w:val="single"/>
          <w:lang w:val="it-IT"/>
        </w:rPr>
        <w:t>Criticità</w:t>
      </w:r>
      <w:r>
        <w:rPr>
          <w:rFonts w:eastAsia="Times New Roman" w:cs="Times New Roman" w:ascii="Times New Roman" w:hAnsi="Times New Roman"/>
          <w:color w:val="00000A"/>
          <w:sz w:val="22"/>
          <w:szCs w:val="22"/>
          <w:lang w:val="it-IT"/>
        </w:rPr>
        <w:t>: la struttura della contrattazione nel Comparto unico del Friuli Venezia Giulia, in particolare il livello ottimale di decentramento negoziale, da contemperare con la nuova architettura amministrativa del governo locale e il correlato trasferimento di funzioni e di personale</w:t>
      </w:r>
    </w:p>
    <w:p>
      <w:pPr>
        <w:pStyle w:val="Normal"/>
        <w:widowControl/>
        <w:bidi w:val="0"/>
        <w:spacing w:lineRule="auto" w:line="259" w:before="0" w:after="160"/>
        <w:ind w:left="0" w:right="0" w:hanging="0"/>
        <w:jc w:val="both"/>
        <w:rPr/>
      </w:pPr>
      <w:r>
        <w:rPr>
          <w:rFonts w:eastAsia="Times New Roman" w:cs="Arial Hebrew Scholar" w:ascii="Times New Roman" w:hAnsi="Times New Roman"/>
          <w:color w:val="00000A"/>
          <w:sz w:val="22"/>
          <w:szCs w:val="22"/>
          <w:u w:val="single"/>
          <w:lang w:val="it-IT"/>
        </w:rPr>
        <w:t>Soluzioni</w:t>
      </w:r>
      <w:r>
        <w:rPr>
          <w:rFonts w:eastAsia="Times New Roman" w:cs="Arial Hebrew Scholar" w:ascii="Times New Roman" w:hAnsi="Times New Roman"/>
          <w:color w:val="00000A"/>
          <w:sz w:val="22"/>
          <w:szCs w:val="22"/>
          <w:lang w:val="it-IT"/>
        </w:rPr>
        <w:t xml:space="preserve">: cogliere l’opportunità </w:t>
      </w:r>
      <w:r>
        <w:rPr>
          <w:rFonts w:eastAsia="Times New Roman" w:cs="Arial" w:ascii="Times New Roman" w:hAnsi="Times New Roman"/>
          <w:color w:val="00000A"/>
          <w:sz w:val="22"/>
          <w:szCs w:val="22"/>
          <w:lang w:val="it-IT"/>
        </w:rPr>
        <w:t>offerta dalla digitalizzazione degli strumenti di lavoro e dalla smaterializzazione delle procedure, per ripensare e ammodernare le strutture e la loro organizzazione,  propiziando così una “spinta gentile” per una grande trasformazione della PA che parta “dal basso”, dal “piccolo”, dalle “periferie”, in una nuova dimensione integrata, regionale e locale insieme.</w:t>
      </w:r>
    </w:p>
    <w:p>
      <w:pPr>
        <w:pStyle w:val="Normal"/>
        <w:widowControl/>
        <w:bidi w:val="0"/>
        <w:spacing w:lineRule="auto" w:line="259" w:before="0" w:after="16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sz w:val="22"/>
          <w:szCs w:val="22"/>
          <w:u w:val="single"/>
          <w:lang w:val="it-IT"/>
        </w:rPr>
        <w:t>Problemi aperti</w:t>
      </w:r>
      <w:r>
        <w:rPr>
          <w:rFonts w:eastAsia="Times New Roman" w:cs="Times New Roman" w:ascii="Times New Roman" w:hAnsi="Times New Roman"/>
          <w:color w:val="00000A"/>
          <w:sz w:val="22"/>
          <w:szCs w:val="22"/>
          <w:lang w:val="it-IT"/>
        </w:rPr>
        <w:t>: - il raccordo tra politica ed amministrazione, ove le realtà di minori dimensioni prevedono sempre più un ruolo gestionale per gli organi politici (v. governance); - lo spopolamento, che impone una riflessione critica sulla erogazione dei servizi e la migliore allocazione del personale in contesti periferici, privi o poveri di infrastrutture digitali e di trasporto (v. finanza locale).</w:t>
      </w:r>
    </w:p>
    <w:p>
      <w:pPr>
        <w:pStyle w:val="Normal"/>
        <w:widowControl/>
        <w:bidi w:val="0"/>
        <w:spacing w:lineRule="auto" w:line="259" w:before="0" w:after="16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z w:val="22"/>
          <w:szCs w:val="22"/>
          <w:lang w:val="it-IT"/>
        </w:rPr>
      </w:pPr>
      <w:r>
        <w:rPr>
          <w:rFonts w:eastAsia="Times New Roman" w:cs="Times New Roman" w:ascii="Times New Roman" w:hAnsi="Times New Roman"/>
          <w:color w:val="00000A"/>
          <w:sz w:val="22"/>
          <w:szCs w:val="22"/>
          <w:lang w:val="it-IT"/>
        </w:rPr>
      </w:r>
      <w:r>
        <w:br w:type="page"/>
      </w:r>
    </w:p>
    <w:p>
      <w:pPr>
        <w:pStyle w:val="Normal"/>
        <w:widowControl/>
        <w:bidi w:val="0"/>
        <w:spacing w:lineRule="auto" w:line="259" w:before="0" w:after="16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A"/>
          <w:sz w:val="22"/>
          <w:szCs w:val="22"/>
          <w:lang w:val="it-IT"/>
        </w:rPr>
        <w:t>FINANZA LOCALE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color w:val="00000A"/>
          <w:sz w:val="22"/>
          <w:szCs w:val="22"/>
          <w:u w:val="single"/>
          <w:lang w:val="it-IT"/>
        </w:rPr>
        <w:t>Punto di partenza</w:t>
      </w:r>
      <w:r>
        <w:rPr>
          <w:rFonts w:eastAsia="Times New Roman" w:cs="Times New Roman" w:ascii="Times New Roman" w:hAnsi="Times New Roman"/>
          <w:color w:val="00000A"/>
          <w:sz w:val="22"/>
          <w:szCs w:val="22"/>
          <w:lang w:val="it-IT"/>
        </w:rPr>
        <w:t>:</w:t>
      </w:r>
      <w:r>
        <w:rPr>
          <w:rFonts w:ascii="Times New Roman" w:hAnsi="Times New Roman"/>
          <w:sz w:val="22"/>
          <w:szCs w:val="22"/>
        </w:rPr>
        <w:t xml:space="preserve"> sistema territoriale integrato come ambito di coordinamento della finanza pubblica regionale-locale, che prefigura un nuovo modello decentrato di coordinamento della finanza pubblica e un nuovo modello integrato di relazioni tra livelli di governo</w:t>
      </w:r>
    </w:p>
    <w:p>
      <w:pPr>
        <w:pStyle w:val="Normal"/>
        <w:widowControl/>
        <w:bidi w:val="0"/>
        <w:spacing w:lineRule="auto" w:line="259" w:before="0" w:after="16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sz w:val="22"/>
          <w:szCs w:val="22"/>
          <w:u w:val="single"/>
          <w:lang w:val="it-IT"/>
        </w:rPr>
        <w:t>Criticità</w:t>
      </w:r>
      <w:r>
        <w:rPr>
          <w:rFonts w:eastAsia="Times New Roman" w:cs="Times New Roman" w:ascii="Times New Roman" w:hAnsi="Times New Roman"/>
          <w:color w:val="00000A"/>
          <w:sz w:val="22"/>
          <w:szCs w:val="22"/>
          <w:lang w:val="it-IT"/>
        </w:rPr>
        <w:t>: mancanza, nello Statuto regionale, di un configurazione sistemica dei rapporti Regione-ee ll; mancanza di norme di attuazione che disciplinino le relazioni finanziarie tra livelli di governo; carenza della legislazione regionale sulle sedi e i moduli procedimentali di raccordo Regione-ee ll</w:t>
      </w:r>
    </w:p>
    <w:p>
      <w:pPr>
        <w:pStyle w:val="Normal"/>
        <w:widowControl/>
        <w:bidi w:val="0"/>
        <w:spacing w:lineRule="auto" w:line="259" w:before="0" w:after="16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sz w:val="22"/>
          <w:szCs w:val="22"/>
          <w:u w:val="single"/>
          <w:lang w:val="it-IT"/>
        </w:rPr>
        <w:t>Soluzioni</w:t>
      </w:r>
      <w:r>
        <w:rPr>
          <w:rFonts w:eastAsia="Times New Roman" w:cs="Times New Roman" w:ascii="Times New Roman" w:hAnsi="Times New Roman"/>
          <w:color w:val="00000A"/>
          <w:sz w:val="22"/>
          <w:szCs w:val="22"/>
          <w:u w:val="none"/>
          <w:lang w:val="it-IT"/>
        </w:rPr>
        <w:t>:</w:t>
      </w:r>
      <w:r>
        <w:rPr>
          <w:rFonts w:eastAsia="Times New Roman" w:cs="Times New Roman" w:ascii="Times New Roman" w:hAnsi="Times New Roman"/>
          <w:color w:val="00000A"/>
          <w:sz w:val="22"/>
          <w:szCs w:val="22"/>
          <w:lang w:val="it-IT"/>
        </w:rPr>
        <w:t xml:space="preserve"> revisione statutaria (poco verosimile nel breve-medio periodo, per non adeguata maturazione delle condizioni di contesto); approvazione di apposita norma di attuazione che procedimentalizzi i meccanismi di intesa (fattibile in tempi ragionevoli, se vi è supporto politico adeguato); rafforzamento ruolo del CAL e dei procedimenti concertativi Regione-ee in generale (realizzabile in tempi rapidi, in presenza di una volontà politica corrispondente)</w:t>
      </w:r>
    </w:p>
    <w:p>
      <w:pPr>
        <w:pStyle w:val="Normal"/>
        <w:widowControl/>
        <w:bidi w:val="0"/>
        <w:spacing w:lineRule="auto" w:line="259" w:before="0" w:after="16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z w:val="22"/>
          <w:szCs w:val="22"/>
          <w:lang w:val="it-IT"/>
        </w:rPr>
      </w:pPr>
      <w:r>
        <w:rPr>
          <w:rFonts w:eastAsia="Times New Roman" w:cs="Times New Roman" w:ascii="Times New Roman" w:hAnsi="Times New Roman"/>
          <w:color w:val="00000A"/>
          <w:sz w:val="22"/>
          <w:szCs w:val="22"/>
          <w:lang w:val="it-IT"/>
        </w:rPr>
      </w:r>
      <w:r>
        <w:br w:type="page"/>
      </w:r>
    </w:p>
    <w:p>
      <w:pPr>
        <w:pStyle w:val="Normal"/>
        <w:widowControl/>
        <w:bidi w:val="0"/>
        <w:spacing w:lineRule="auto" w:line="276" w:before="0" w:after="16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222222"/>
          <w:sz w:val="22"/>
          <w:szCs w:val="22"/>
          <w:lang w:val="it-IT"/>
        </w:rPr>
        <w:t>FUNZIONI E SERVIZI; FORMA DI GOVERNO</w:t>
      </w:r>
    </w:p>
    <w:p>
      <w:pPr>
        <w:pStyle w:val="Normal"/>
        <w:widowControl/>
        <w:bidi w:val="0"/>
        <w:spacing w:lineRule="auto" w:line="276" w:before="0" w:after="160"/>
        <w:ind w:left="0" w:right="0" w:hanging="0"/>
        <w:jc w:val="both"/>
        <w:rPr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222222"/>
          <w:sz w:val="22"/>
          <w:szCs w:val="22"/>
          <w:u w:val="none"/>
          <w:lang w:val="it-IT"/>
        </w:rPr>
        <w:t>Parte in corso di elaborazione da parte dell’Officina. Le riflessioni ruotano attorno ai seguenti concetti chiave.</w:t>
      </w:r>
    </w:p>
    <w:p>
      <w:pPr>
        <w:pStyle w:val="Normal"/>
        <w:widowControl/>
        <w:bidi w:val="0"/>
        <w:spacing w:lineRule="auto" w:line="276" w:before="0" w:after="16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222222"/>
          <w:sz w:val="22"/>
          <w:szCs w:val="22"/>
          <w:u w:val="single"/>
          <w:lang w:val="it-IT"/>
        </w:rPr>
        <w:t>Rete</w:t>
      </w:r>
      <w:r>
        <w:rPr>
          <w:rFonts w:eastAsia="Times New Roman" w:cs="Times New Roman" w:ascii="Times New Roman" w:hAnsi="Times New Roman"/>
          <w:b w:val="false"/>
          <w:bCs w:val="false"/>
          <w:color w:val="222222"/>
          <w:sz w:val="22"/>
          <w:szCs w:val="22"/>
          <w:lang w:val="it-IT"/>
        </w:rPr>
        <w:t xml:space="preserve">: </w:t>
      </w:r>
      <w:r>
        <w:rPr>
          <w:rFonts w:eastAsia="Times New Roman" w:cs="Times New Roman" w:ascii="Times New Roman" w:hAnsi="Times New Roman"/>
          <w:color w:val="222222"/>
          <w:sz w:val="22"/>
          <w:szCs w:val="22"/>
          <w:lang w:val="it-IT"/>
        </w:rPr>
        <w:t>struttura dei modelli di interazione tra enti e livelli di governo alternativa, in tutto o in parte, allo schema gerarchico, che consente lo sviluppo armonioso e strategico di un sistema, dal punto di vista strutturale e/o funzionale</w:t>
      </w:r>
    </w:p>
    <w:p>
      <w:pPr>
        <w:pStyle w:val="Normal"/>
        <w:widowControl/>
        <w:bidi w:val="0"/>
        <w:spacing w:lineRule="auto" w:line="276" w:before="0" w:after="16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222222"/>
          <w:sz w:val="22"/>
          <w:szCs w:val="22"/>
          <w:u w:val="single"/>
          <w:lang w:val="it-IT"/>
        </w:rPr>
        <w:t>Governance</w:t>
      </w:r>
      <w:r>
        <w:rPr>
          <w:rFonts w:eastAsia="Times New Roman" w:cs="Times New Roman" w:ascii="Times New Roman" w:hAnsi="Times New Roman"/>
          <w:b w:val="false"/>
          <w:bCs w:val="false"/>
          <w:color w:val="222222"/>
          <w:sz w:val="22"/>
          <w:szCs w:val="22"/>
          <w:lang w:val="it-IT"/>
        </w:rPr>
        <w:t xml:space="preserve">: </w:t>
      </w:r>
      <w:r>
        <w:rPr>
          <w:rFonts w:eastAsia="ＭＳ 明朝" w:cs="Garamond" w:ascii="Times New Roman" w:hAnsi="Times New Roman"/>
          <w:b w:val="false"/>
          <w:bCs w:val="false"/>
          <w:i w:val="false"/>
          <w:iCs w:val="false"/>
          <w:color w:val="000000"/>
          <w:spacing w:val="0"/>
          <w:sz w:val="22"/>
          <w:szCs w:val="22"/>
          <w:u w:val="none"/>
          <w:lang w:val="it-IT" w:eastAsia="it-IT"/>
        </w:rPr>
        <w:t xml:space="preserve">modo d’essere dei processi decisionali alternativo o comunque più ampio e complesso delle decisioni del governo istituzionalmente inteso (il </w:t>
      </w:r>
      <w:r>
        <w:rPr>
          <w:rFonts w:eastAsia="ＭＳ 明朝" w:cs="Garamond" w:ascii="Times New Roman" w:hAnsi="Times New Roman"/>
          <w:b w:val="false"/>
          <w:bCs w:val="false"/>
          <w:i/>
          <w:iCs/>
          <w:color w:val="000000"/>
          <w:spacing w:val="0"/>
          <w:sz w:val="22"/>
          <w:szCs w:val="22"/>
          <w:u w:val="none"/>
          <w:lang w:val="it-IT" w:eastAsia="it-IT"/>
        </w:rPr>
        <w:t>government</w:t>
      </w:r>
      <w:r>
        <w:rPr>
          <w:rFonts w:eastAsia="ＭＳ 明朝" w:cs="Garamond" w:ascii="Times New Roman" w:hAnsi="Times New Roman"/>
          <w:b w:val="false"/>
          <w:bCs w:val="false"/>
          <w:i w:val="false"/>
          <w:iCs w:val="false"/>
          <w:color w:val="000000"/>
          <w:spacing w:val="0"/>
          <w:sz w:val="22"/>
          <w:szCs w:val="22"/>
          <w:u w:val="none"/>
          <w:lang w:val="it-IT" w:eastAsia="it-IT"/>
        </w:rPr>
        <w:t>) assunte attraverso la deliberazione a contenuto regolativo dell’organo di rappresentanza</w:t>
      </w:r>
    </w:p>
    <w:p>
      <w:pPr>
        <w:pStyle w:val="Normal"/>
        <w:widowControl/>
        <w:bidi w:val="0"/>
        <w:spacing w:lineRule="auto" w:line="276" w:before="0" w:after="160"/>
        <w:ind w:left="0" w:right="0" w:hanging="0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222222"/>
          <w:sz w:val="22"/>
          <w:szCs w:val="22"/>
          <w:u w:val="single"/>
          <w:lang w:val="it-IT"/>
        </w:rPr>
        <w:t>Ente-sistema</w:t>
      </w:r>
      <w:r>
        <w:rPr>
          <w:rFonts w:eastAsia="Times New Roman" w:cs="Times New Roman" w:ascii="Times New Roman" w:hAnsi="Times New Roman"/>
          <w:b w:val="false"/>
          <w:bCs w:val="false"/>
          <w:color w:val="222222"/>
          <w:sz w:val="22"/>
          <w:szCs w:val="22"/>
          <w:lang w:val="it-IT"/>
        </w:rPr>
        <w:t>: m</w:t>
      </w:r>
      <w:r>
        <w:rPr>
          <w:rFonts w:eastAsia="Times New Roman" w:cs="Times New Roman" w:ascii="Times New Roman" w:hAnsi="Times New Roman"/>
          <w:color w:val="222222"/>
          <w:sz w:val="22"/>
          <w:szCs w:val="22"/>
          <w:lang w:val="it-IT"/>
        </w:rPr>
        <w:t>odello di ente che fonda il proprio agire partendo dal presupposto che non vi sia (più) corrispondenza esatta tra rappresentanza politica e territorio, che nessuno dei problemi del suo territorio sia risolvibile (solo) agendo all’interno dei propri confini; che le proprie funzioni possano portare a adeguate soluzioni solo facendo sistema con altri soggetti istituzionali, con altri territori, con altre rappresentanze politiche</w:t>
      </w:r>
    </w:p>
    <w:p>
      <w:pPr>
        <w:pStyle w:val="Normal"/>
        <w:widowControl/>
        <w:bidi w:val="0"/>
        <w:spacing w:lineRule="auto" w:line="276" w:before="0" w:after="16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222222"/>
          <w:sz w:val="22"/>
          <w:szCs w:val="22"/>
          <w:u w:val="single"/>
          <w:lang w:val="it-IT"/>
        </w:rPr>
        <w:t>Adeguatezza</w:t>
      </w:r>
      <w:r>
        <w:rPr>
          <w:rFonts w:eastAsia="Times New Roman" w:cs="Times New Roman" w:ascii="Times New Roman" w:hAnsi="Times New Roman"/>
          <w:b w:val="false"/>
          <w:bCs w:val="false"/>
          <w:color w:val="222222"/>
          <w:sz w:val="22"/>
          <w:szCs w:val="22"/>
          <w:lang w:val="it-IT"/>
        </w:rPr>
        <w:t>: criterio direttivo per l’esercizio di funzioni e la gestione di servizi non più incentrato tanto sulla prospettiva dimensionale, quanto sugli strumenti operativi che favoriscano la relazionalità tra enti</w:t>
      </w:r>
    </w:p>
    <w:sectPr>
      <w:type w:val="nextPage"/>
      <w:pgSz w:w="11906" w:h="16838"/>
      <w:pgMar w:left="1417" w:right="1419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a81f0a"/>
    <w:rPr>
      <w:rFonts w:ascii="Segoe UI" w:hAnsi="Segoe UI" w:cs="Segoe UI"/>
      <w:sz w:val="18"/>
      <w:szCs w:val="18"/>
    </w:rPr>
  </w:style>
  <w:style w:type="character" w:styleId="ListLabel3">
    <w:name w:val="ListLabel 3"/>
    <w:qFormat/>
    <w:rPr>
      <w:rFonts w:ascii="Times New Roman" w:hAnsi="Times New Roman" w:cs="Times New Roman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Wingdings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Wingdings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Free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81f0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838FB-6539-4DDD-80C6-F5610D1D8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Application>LibreOffice/5.1.6.2$Linux_X86_64 LibreOffice_project/10m0$Build-2</Application>
  <Pages>4</Pages>
  <Words>783</Words>
  <Characters>4777</Characters>
  <CharactersWithSpaces>5542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2018-07-10T12:25:00Z</dcterms:created>
  <dc:creator>Mauro Pascolini</dc:creator>
  <dc:description/>
  <dc:language>it-IT</dc:language>
  <cp:lastModifiedBy/>
  <cp:lastPrinted>2018-07-10T12:33:00Z</cp:lastPrinted>
  <dcterms:modified xsi:type="dcterms:W3CDTF">2018-12-13T20:02:16Z</dcterms:modified>
  <cp:revision>119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